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Re.: Ofício Nº 29/2021 da Câmara Municipal de Anchieta</w:t>
      </w: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Consulta formulada à</w:t>
      </w:r>
      <w:r>
        <w:rPr>
          <w:rFonts w:ascii="Palatino Linotype" w:hAnsi="Palatino Linotype"/>
          <w:sz w:val="24"/>
          <w:szCs w:val="24"/>
        </w:rPr>
        <w:t xml:space="preserve"> </w:t>
      </w:r>
      <w:r w:rsidRPr="00FC6E91">
        <w:rPr>
          <w:rFonts w:ascii="Palatino Linotype" w:hAnsi="Palatino Linotype"/>
          <w:sz w:val="24"/>
          <w:szCs w:val="24"/>
        </w:rPr>
        <w:t>Comissão de Acompanhamento Legislativo da OAB/ES</w:t>
      </w: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Direcionada à Comissão de Direito Tributário</w:t>
      </w: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center"/>
        <w:rPr>
          <w:rFonts w:ascii="Palatino Linotype" w:hAnsi="Palatino Linotype"/>
          <w:b/>
          <w:sz w:val="24"/>
          <w:szCs w:val="24"/>
        </w:rPr>
      </w:pPr>
      <w:r w:rsidRPr="00FC6E91">
        <w:rPr>
          <w:rFonts w:ascii="Palatino Linotype" w:hAnsi="Palatino Linotype"/>
          <w:b/>
          <w:sz w:val="24"/>
          <w:szCs w:val="24"/>
        </w:rPr>
        <w:t>RELATÓRIO</w:t>
      </w: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Trata-se de pedido de Parecer sobre a aplicação das atualizações da legislação do Imposto Sobre Serviço – ISS nos municípios, formulado pelo Gabinete do Vereador Renato Lorencini, por meio da Câmara Municipal de Anchieta, direcionada à Comissão de Acompanhamento Legislativo da OAB/ES, por meio do OFÍCIO Nº 29/2021.</w:t>
      </w: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De plano, impende-se destacar que foram levantadas questões inerentes exclusivamente à legislação do Município de Anchieta, com fulcro nas alterações legislativas em matéria de Lei Complementar Federal – 157/2016 e 175/2020, que alteraram a Lei Complementar no 116, de 31 de julho de 2003.</w:t>
      </w: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É o breve relatório.</w:t>
      </w:r>
    </w:p>
    <w:p w:rsidR="000E418C" w:rsidRDefault="000E418C" w:rsidP="00F40551">
      <w:pPr>
        <w:spacing w:after="0" w:line="276" w:lineRule="auto"/>
        <w:jc w:val="both"/>
        <w:rPr>
          <w:rFonts w:ascii="Palatino Linotype" w:hAnsi="Palatino Linotype"/>
          <w:sz w:val="24"/>
          <w:szCs w:val="24"/>
        </w:rPr>
      </w:pPr>
    </w:p>
    <w:p w:rsidR="000E418C"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center"/>
        <w:rPr>
          <w:rFonts w:ascii="Palatino Linotype" w:hAnsi="Palatino Linotype"/>
          <w:b/>
          <w:sz w:val="24"/>
          <w:szCs w:val="24"/>
        </w:rPr>
      </w:pPr>
      <w:r w:rsidRPr="00FC6E91">
        <w:rPr>
          <w:rFonts w:ascii="Palatino Linotype" w:hAnsi="Palatino Linotype"/>
          <w:b/>
          <w:sz w:val="24"/>
          <w:szCs w:val="24"/>
        </w:rPr>
        <w:t>FUNDAMENTAÇÃO</w:t>
      </w:r>
    </w:p>
    <w:p w:rsidR="000E418C" w:rsidRPr="00FC6E91" w:rsidRDefault="000E418C" w:rsidP="00F40551">
      <w:pPr>
        <w:spacing w:after="0" w:line="276" w:lineRule="auto"/>
        <w:jc w:val="center"/>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Prefacialmente, cumpre-nos trazer à baila as disposições da Carta Magna, em seu artigo 146, inc. III, onde dispõe que cabe à Lei Complementar estabelecer normas gerais em matéria de legislação tributária. Dessarte, a Lei Complementar no 116, de 31 de julho de 2003 dispôs sobre o Imposto Sobre Serviços de Qualquer Natureza, de competência dos Municípios e do Distrito Federal.</w:t>
      </w: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lastRenderedPageBreak/>
        <w:t xml:space="preserve">Em 2016 foi sancionada a Lei Complementar 157, que promoveu diversas alterações quanto às obrigações principais referentes às operadoras de Cartões de </w:t>
      </w:r>
      <w:r w:rsidRPr="00FC6E91">
        <w:rPr>
          <w:rFonts w:ascii="Palatino Linotype" w:eastAsia="Times New Roman" w:hAnsi="Palatino Linotype" w:cs="Arial"/>
          <w:sz w:val="24"/>
          <w:szCs w:val="24"/>
          <w:lang w:eastAsia="pt-BR"/>
        </w:rPr>
        <w:t>Crédito e Débito, Planos de Saúde e Leasing, com alterações do local de incidência tributária.</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Por meio de Medida Cautelar concedida nos autos da ADI 5.835 pelo Ministro Alexandre de Moraes, em 23 de março de 2018, foi suspensa a eficácia do artigo1º da Lei Complementar 157/2016, na parte que modificou o art. 3º, XXIII,XXIV e XXV, e os parágrafos 3º e 4º do art. 6º da Lei Complementar116/2003; bem como, por arrastamento, suspensa eficácia de todalegislação local editada para sua direta complementação.</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sz w:val="24"/>
          <w:szCs w:val="24"/>
          <w:lang w:eastAsia="pt-BR"/>
        </w:rPr>
      </w:pPr>
      <w:r w:rsidRPr="00FC6E91">
        <w:rPr>
          <w:rFonts w:ascii="Palatino Linotype" w:eastAsia="Times New Roman" w:hAnsi="Palatino Linotype" w:cs="Arial"/>
          <w:color w:val="000000" w:themeColor="text1"/>
          <w:sz w:val="24"/>
          <w:szCs w:val="24"/>
          <w:lang w:eastAsia="pt-BR"/>
        </w:rPr>
        <w:t xml:space="preserve">Para garantir uma distribuição justa e </w:t>
      </w:r>
      <w:r w:rsidRPr="00FC6E91">
        <w:rPr>
          <w:rFonts w:ascii="Palatino Linotype" w:eastAsia="Times New Roman" w:hAnsi="Palatino Linotype" w:cs="Arial"/>
          <w:sz w:val="24"/>
          <w:szCs w:val="24"/>
          <w:lang w:eastAsia="pt-BR"/>
        </w:rPr>
        <w:t>igualitária do imposto municipal, foi sancionada a citada LC nº 175/2020, em resposta degrande parte dos questionamentos formulados na ADI 5.835.</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 xml:space="preserve">Outrossim, a LC 175/2020, veio determinar as regras em caráter geral em relação aos serviços descritos nos subitens 4.22, 4.23, 5.09, 15.01 e 15.09 da lista de serviços, anexa à Lei Complementar nº 116, de 31 de julho de 2003. </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Embora seja uma conquista dos municípios onde há efetiva prestação dos serviços, alguns pontos dificultarão a fiscalização pelo fato de o artigo 5º da Lei Complementar 175/2020 cria</w:t>
      </w:r>
      <w:r w:rsidRPr="00FC6E91">
        <w:rPr>
          <w:rFonts w:ascii="Palatino Linotype" w:eastAsia="Times New Roman" w:hAnsi="Palatino Linotype" w:cs="Arial"/>
          <w:sz w:val="24"/>
          <w:szCs w:val="24"/>
          <w:lang w:eastAsia="pt-BR"/>
        </w:rPr>
        <w:t>r</w:t>
      </w:r>
      <w:r w:rsidRPr="00FC6E91">
        <w:rPr>
          <w:rFonts w:ascii="Palatino Linotype" w:eastAsia="Times New Roman" w:hAnsi="Palatino Linotype" w:cs="Arial"/>
          <w:color w:val="000000" w:themeColor="text1"/>
          <w:sz w:val="24"/>
          <w:szCs w:val="24"/>
          <w:lang w:eastAsia="pt-BR"/>
        </w:rPr>
        <w:t xml:space="preserve"> uma ressalva impedindo que, em âmbito municipal, se criem obrigações acessórias para auxiliar na fiscalização dos fatos geradores ocorridos em seus territórios, usurpando parte da competência dos municípios, atribuída pela Constituição da República e, ao mesmo tempo retirando a possibilidade de criar mecanismos de fiscalização, conforme estabelecido na parte final do §2º do artigo 113 do Código Tributário Nacional.</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lastRenderedPageBreak/>
        <w:t>A LC 175/2020 criou limitação que por certo irá prejudicar a fiscalização por partes dos municípios onde situados os tomadores de serviços, consoante disposto em seu artigo 5º:</w:t>
      </w:r>
    </w:p>
    <w:p w:rsidR="000E418C" w:rsidRPr="00FC6E91" w:rsidRDefault="000E418C" w:rsidP="00F40551">
      <w:pPr>
        <w:spacing w:after="0" w:line="276" w:lineRule="auto"/>
        <w:jc w:val="both"/>
        <w:rPr>
          <w:rFonts w:ascii="Palatino Linotype" w:eastAsia="Times New Roman" w:hAnsi="Palatino Linotype" w:cs="Times New Roman"/>
          <w:color w:val="000000" w:themeColor="text1"/>
          <w:sz w:val="24"/>
          <w:szCs w:val="24"/>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i/>
          <w:iCs/>
          <w:color w:val="000000" w:themeColor="text1"/>
          <w:lang w:eastAsia="pt-BR"/>
        </w:rPr>
        <w:t>Art. 5º Ressalvadas as hipóteses previstas nesta Lei Complementar, é vedada aos Municípios e ao Distrito Federal a imposição a contribuintes não estabelecidos em seu território de qualquer outra obrigação acessória com relação aos serviços referidos no art. 1º, inclusive a exigência de inscrição nos cadastros municipais e distritais ou de licenças e alvarás de abertura de estabelecimentos nos respectivos Municípios e no Distrito Federal.</w:t>
      </w:r>
    </w:p>
    <w:p w:rsidR="000E418C" w:rsidRDefault="000E418C" w:rsidP="00F40551">
      <w:pPr>
        <w:spacing w:after="0" w:line="240"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 </w:t>
      </w:r>
    </w:p>
    <w:p w:rsidR="000E418C"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Outro ponto trazido pela LC 175/2020 e que merece atenção é que o produto da arrecadação do ISSQN relativo aos serviços descritos nos subitens 4.22, 4.23, 5.09, 15.01 e 15.09 da lista de serviços, anexa à Lei Complementar nº 116/2003, será partilhado entre o Município do local do estabelecimento prestador e o Município do domicílio do tomador desses serviços, de forma transitória, senão vejamos:</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Art. 15.</w:t>
      </w:r>
      <w:r w:rsidRPr="00FC6E91">
        <w:rPr>
          <w:rFonts w:ascii="Palatino Linotype" w:eastAsia="Times New Roman" w:hAnsi="Palatino Linotype" w:cs="Arial"/>
          <w:i/>
          <w:iCs/>
          <w:color w:val="000000" w:themeColor="text1"/>
          <w:lang w:eastAsia="pt-BR"/>
        </w:rPr>
        <w:t xml:space="preserve"> O produto da arrecadação do ISSQN relativo aos serviços descritos nos subitens 4.22, 4.23, 5.09, 15.01 e 15.09 da lista de serviços anexa à Lei Complementar nº 116, de 31 de julho de 2003, cujo período de apuração esteja compreendido entre a data de publicação desta Lei Complementar e o último dia do exercício financeiro de 2022 será partilhado entre o Município do local do estabelecimento prestador e o Município do domicílio do tomador desses serviços, da seguinte forma:</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I</w:t>
      </w:r>
      <w:r w:rsidRPr="00FC6E91">
        <w:rPr>
          <w:rFonts w:ascii="Palatino Linotype" w:eastAsia="Times New Roman" w:hAnsi="Palatino Linotype" w:cs="Arial"/>
          <w:i/>
          <w:iCs/>
          <w:color w:val="000000" w:themeColor="text1"/>
          <w:lang w:eastAsia="pt-BR"/>
        </w:rPr>
        <w:t xml:space="preserve"> - relativamente aos períodos de apuração ocorridos no exercício de 2021, 33,5% (trinta e três inteiros e cinco décimos por cento) do produto da arrecadação pertencerão ao Município do local do estabelecimento prestador do serviço, e 66,5% (sessenta e seis inteiros e cinco décimos por cento), ao Município do domicílio do tomador;</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lastRenderedPageBreak/>
        <w:t>II -</w:t>
      </w:r>
      <w:r w:rsidRPr="00FC6E91">
        <w:rPr>
          <w:rFonts w:ascii="Palatino Linotype" w:eastAsia="Times New Roman" w:hAnsi="Palatino Linotype" w:cs="Arial"/>
          <w:i/>
          <w:iCs/>
          <w:color w:val="000000" w:themeColor="text1"/>
          <w:lang w:eastAsia="pt-BR"/>
        </w:rPr>
        <w:t xml:space="preserve"> relativamente aos períodos de apuração ocorridos no exercício de 2022, 15% (quinze por cento) do produto da arrecadação pertencerão ao Município do local do estabelecimento prestador do serviço, e 85% (oitenta e cinco por cento), ao Município do domicílio do tomador;</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III -</w:t>
      </w:r>
      <w:r w:rsidRPr="00FC6E91">
        <w:rPr>
          <w:rFonts w:ascii="Palatino Linotype" w:eastAsia="Times New Roman" w:hAnsi="Palatino Linotype" w:cs="Arial"/>
          <w:i/>
          <w:iCs/>
          <w:color w:val="000000" w:themeColor="text1"/>
          <w:lang w:eastAsia="pt-BR"/>
        </w:rPr>
        <w:t xml:space="preserve"> relativamente aos períodos de apuração ocorridos a partir do exercício de 2023, 100% (cem por cento) do produto da arrecadação pertencerão ao Município do domicílio do tomador.</w:t>
      </w:r>
    </w:p>
    <w:p w:rsidR="000E418C" w:rsidRPr="00FC6E91" w:rsidRDefault="000E418C" w:rsidP="00F40551">
      <w:pPr>
        <w:spacing w:after="0" w:line="240" w:lineRule="auto"/>
        <w:ind w:left="2126"/>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Neste contexto, tratando-se de norma geral em matéria tributária, surge a necessidade de alteração na legislação municipal para adequação à Federal.</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Primeiramente deve ser analisada toda legislação tributária municipal, para revogar qualquer obrigação acessória em relação aos serviços previstos no artigo 1º da Lei Complementar 175/2020, por força do artigo 5º do mesmo diploma legal.</w:t>
      </w:r>
    </w:p>
    <w:p w:rsidR="000E418C" w:rsidRPr="00FC6E91" w:rsidRDefault="000E418C" w:rsidP="00F40551">
      <w:pPr>
        <w:pStyle w:val="Default"/>
        <w:spacing w:line="276" w:lineRule="auto"/>
        <w:rPr>
          <w:rFonts w:ascii="Palatino Linotype" w:eastAsia="Times New Roman" w:hAnsi="Palatino Linotype"/>
          <w:color w:val="000000" w:themeColor="text1"/>
          <w:lang w:eastAsia="pt-BR"/>
        </w:rPr>
      </w:pPr>
    </w:p>
    <w:p w:rsidR="000E418C"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Levando-se em consideração que o produto da arrecadação do Imposto Sobre Serviços de Qualquer Natureza, relativo aos serviços descritos nos subitens 4.22, 4.23, 5.09, 15.01 e 15.09 da lista de serviços anexa à LC 116/2003, possivelmente replicados na legislação municipal, será partilhado entre o Município do local do estabelecimento prestador e o Município do domicílio do tomador desses serviços, é necessário adequar, por lei municipal,a determinação da base de cálculo do imposto para amoldar à Lei Complementar 175/2020.</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É sugestivo,assim, prever na legislação municipal a definição dos tomadores dos serviços, em conformidade com as regras gerais estabelecidas, bem como, a definição do domicílio do tomador dos serviços referidos no subitem 15.01 da lista anexa à LC 116/2003 relativos às transferências realizadas por meio de cartão de crédito ou débito, ou a eles conexos.</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lastRenderedPageBreak/>
        <w:t>É pertinente ainda que os Municípios observem o disposto no parágrafo único do artigo 3º da Lei Complementar 175/2020:</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Art. 3º</w:t>
      </w:r>
      <w:r w:rsidRPr="00FC6E91">
        <w:rPr>
          <w:rFonts w:ascii="Palatino Linotype" w:eastAsia="Times New Roman" w:hAnsi="Palatino Linotype" w:cs="Arial"/>
          <w:i/>
          <w:iCs/>
          <w:color w:val="000000" w:themeColor="text1"/>
          <w:lang w:eastAsia="pt-BR"/>
        </w:rPr>
        <w:t xml:space="preserve"> O contribuinte do ISSQN declarará as informações objeto da obrigação acessória de que trata esta Lei Complementar de forma padronizada, exclusivamente por meio do sistema eletrônico de que trata o art. 2º, até o 25º (vigésimo quinto) dia do mês seguinte ao de ocorrência dos fatos geradores.</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Parágrafo único</w:t>
      </w:r>
      <w:r w:rsidRPr="00FC6E91">
        <w:rPr>
          <w:rFonts w:ascii="Palatino Linotype" w:eastAsia="Times New Roman" w:hAnsi="Palatino Linotype" w:cs="Arial"/>
          <w:i/>
          <w:iCs/>
          <w:color w:val="000000" w:themeColor="text1"/>
          <w:lang w:eastAsia="pt-BR"/>
        </w:rPr>
        <w:t>. A falta da declaração, na forma do caput, das informações relativas a determinado Município ou ao Distrito Federal sujeitará o contribuinte às disposições da respectiva legislação.</w:t>
      </w:r>
    </w:p>
    <w:p w:rsidR="000E418C" w:rsidRPr="00FC6E91" w:rsidRDefault="000E418C" w:rsidP="00F40551">
      <w:pPr>
        <w:spacing w:after="0" w:line="276" w:lineRule="auto"/>
        <w:ind w:left="2126"/>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De acordo com o artigo supra, faz-se mister promover, na legislação local, as alterações previstas no artigo 14 da Lei Complementar 175/2020, em relação a Lei Complementar 116/2003:</w:t>
      </w:r>
    </w:p>
    <w:p w:rsidR="00F40551" w:rsidRDefault="00F40551" w:rsidP="00F40551">
      <w:pPr>
        <w:spacing w:after="0" w:line="276" w:lineRule="auto"/>
        <w:ind w:left="2268"/>
        <w:jc w:val="both"/>
        <w:rPr>
          <w:rFonts w:ascii="Palatino Linotype" w:eastAsia="Times New Roman" w:hAnsi="Palatino Linotype" w:cs="Arial"/>
          <w:b/>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xml:space="preserve">Art. 14. </w:t>
      </w:r>
      <w:r w:rsidRPr="00FC6E91">
        <w:rPr>
          <w:rFonts w:ascii="Palatino Linotype" w:eastAsia="Times New Roman" w:hAnsi="Palatino Linotype" w:cs="Arial"/>
          <w:i/>
          <w:iCs/>
          <w:color w:val="000000" w:themeColor="text1"/>
          <w:lang w:eastAsia="pt-BR"/>
        </w:rPr>
        <w:t>A </w:t>
      </w:r>
      <w:hyperlink r:id="rId7" w:history="1">
        <w:r w:rsidRPr="00FC6E91">
          <w:rPr>
            <w:rFonts w:ascii="Palatino Linotype" w:eastAsia="Times New Roman" w:hAnsi="Palatino Linotype"/>
            <w:i/>
            <w:iCs/>
            <w:color w:val="000000" w:themeColor="text1"/>
            <w:lang w:eastAsia="pt-BR"/>
          </w:rPr>
          <w:t>Lei Complementar nº 116, de 31 de julho de 2003,</w:t>
        </w:r>
      </w:hyperlink>
      <w:r w:rsidRPr="00FC6E91">
        <w:rPr>
          <w:rFonts w:ascii="Palatino Linotype" w:eastAsia="Times New Roman" w:hAnsi="Palatino Linotype" w:cs="Arial"/>
          <w:i/>
          <w:iCs/>
          <w:color w:val="000000" w:themeColor="text1"/>
          <w:lang w:eastAsia="pt-BR"/>
        </w:rPr>
        <w:t> passa a vigorar com as seguintes alterações:</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i/>
          <w:iCs/>
          <w:color w:val="000000" w:themeColor="text1"/>
          <w:lang w:eastAsia="pt-BR"/>
        </w:rPr>
        <w:t>“</w:t>
      </w:r>
      <w:r w:rsidRPr="00FC6E91">
        <w:rPr>
          <w:rFonts w:ascii="Palatino Linotype" w:eastAsia="Times New Roman" w:hAnsi="Palatino Linotype" w:cs="Arial"/>
          <w:b/>
          <w:i/>
          <w:iCs/>
          <w:color w:val="000000" w:themeColor="text1"/>
          <w:lang w:eastAsia="pt-BR"/>
        </w:rPr>
        <w:t>Art. 3º</w:t>
      </w:r>
      <w:r w:rsidRPr="00FC6E91">
        <w:rPr>
          <w:rFonts w:ascii="Palatino Linotype" w:eastAsia="Times New Roman" w:hAnsi="Palatino Linotype" w:cs="Arial"/>
          <w:i/>
          <w:iCs/>
          <w:color w:val="000000" w:themeColor="text1"/>
          <w:lang w:eastAsia="pt-BR"/>
        </w:rPr>
        <w:t>...................................................................................................</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hyperlink r:id="rId8" w:anchor="art3xxv" w:history="1">
        <w:r w:rsidRPr="00FC6E91">
          <w:rPr>
            <w:rFonts w:ascii="Palatino Linotype" w:eastAsia="Times New Roman" w:hAnsi="Palatino Linotype"/>
            <w:i/>
            <w:iCs/>
            <w:color w:val="000000" w:themeColor="text1"/>
            <w:lang w:eastAsia="pt-BR"/>
          </w:rPr>
          <w:t>XXV -</w:t>
        </w:r>
      </w:hyperlink>
      <w:r w:rsidRPr="00FC6E91">
        <w:rPr>
          <w:rFonts w:ascii="Palatino Linotype" w:eastAsia="Times New Roman" w:hAnsi="Palatino Linotype" w:cs="Arial"/>
          <w:i/>
          <w:iCs/>
          <w:color w:val="000000" w:themeColor="text1"/>
          <w:lang w:eastAsia="pt-BR"/>
        </w:rPr>
        <w:t> do domicílio do tomador do serviço do subitem 15.09........................................................................................................</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hyperlink r:id="rId9" w:anchor="art3%C2%A75" w:history="1">
        <w:r w:rsidRPr="00FC6E91">
          <w:rPr>
            <w:rFonts w:ascii="Palatino Linotype" w:eastAsia="Times New Roman" w:hAnsi="Palatino Linotype"/>
            <w:b/>
            <w:i/>
            <w:iCs/>
            <w:color w:val="000000" w:themeColor="text1"/>
            <w:lang w:eastAsia="pt-BR"/>
          </w:rPr>
          <w:t>§ 5º</w:t>
        </w:r>
      </w:hyperlink>
      <w:r w:rsidRPr="00FC6E91">
        <w:rPr>
          <w:rFonts w:ascii="Palatino Linotype" w:eastAsia="Times New Roman" w:hAnsi="Palatino Linotype" w:cs="Arial"/>
          <w:i/>
          <w:iCs/>
          <w:color w:val="000000" w:themeColor="text1"/>
          <w:lang w:eastAsia="pt-BR"/>
        </w:rPr>
        <w:t> Ressalvadas as exceções e especificações estabelecidas nos §§ 6º a 12 deste artigo, considera-se tomador dos serviços referidos nos incisos XXIII, XXIV e XXV do caput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6º</w:t>
      </w:r>
      <w:r w:rsidRPr="00FC6E91">
        <w:rPr>
          <w:rFonts w:ascii="Palatino Linotype" w:eastAsia="Times New Roman" w:hAnsi="Palatino Linotype" w:cs="Arial"/>
          <w:i/>
          <w:iCs/>
          <w:color w:val="000000" w:themeColor="text1"/>
          <w:lang w:eastAsia="pt-BR"/>
        </w:rPr>
        <w:t xml:space="preserve"> No caso dos serviços de planos de saúde ou de medicina e congêneres, referidos nos subitens 4.22 e 4.23 da lista de serviços anexa a esta Lei Complementar, o tomador do serviço é a pessoa física </w:t>
      </w:r>
      <w:r w:rsidRPr="00FC6E91">
        <w:rPr>
          <w:rFonts w:ascii="Palatino Linotype" w:eastAsia="Times New Roman" w:hAnsi="Palatino Linotype" w:cs="Arial"/>
          <w:i/>
          <w:iCs/>
          <w:color w:val="000000" w:themeColor="text1"/>
          <w:lang w:eastAsia="pt-BR"/>
        </w:rPr>
        <w:lastRenderedPageBreak/>
        <w:t>beneficiária vinculada à operadora por meio de convênio ou contrato de plano de saúde individual, familiar, coletivo empresarial ou coletivo por adesão.</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7º</w:t>
      </w:r>
      <w:r w:rsidRPr="00FC6E91">
        <w:rPr>
          <w:rFonts w:ascii="Palatino Linotype" w:eastAsia="Times New Roman" w:hAnsi="Palatino Linotype" w:cs="Arial"/>
          <w:i/>
          <w:iCs/>
          <w:color w:val="000000" w:themeColor="text1"/>
          <w:lang w:eastAsia="pt-BR"/>
        </w:rPr>
        <w:t xml:space="preserve"> Nos casos em que houver dependentes vinculados ao titular do plano, será considerado apenas o domicílio do titular para fins do disposto no § 6º deste artigo.</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8º</w:t>
      </w:r>
      <w:r w:rsidRPr="00FC6E91">
        <w:rPr>
          <w:rFonts w:ascii="Palatino Linotype" w:eastAsia="Times New Roman" w:hAnsi="Palatino Linotype" w:cs="Arial"/>
          <w:i/>
          <w:iCs/>
          <w:color w:val="000000" w:themeColor="text1"/>
          <w:lang w:eastAsia="pt-BR"/>
        </w:rPr>
        <w:t xml:space="preserve"> No caso dos serviços de administração de cartão de crédito ou débito e congêneres, referidos no subitem 15.01 da lista de serviços anexa a esta Lei Complementar, prestados diretamente aos portadores de cartões de crédito ou débito e congêneres, o tomador é o primeiro titular do cartão.</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9º</w:t>
      </w:r>
      <w:r w:rsidRPr="00FC6E91">
        <w:rPr>
          <w:rFonts w:ascii="Palatino Linotype" w:eastAsia="Times New Roman" w:hAnsi="Palatino Linotype" w:cs="Arial"/>
          <w:i/>
          <w:iCs/>
          <w:color w:val="000000" w:themeColor="text1"/>
          <w:lang w:eastAsia="pt-BR"/>
        </w:rPr>
        <w:t xml:space="preserve"> O local do estabelecimento credenciado é considerado o domicílio do tomador dos demais serviços referidos no subitem 15.01 da lista de serviços anexa a esta Lei Complementar relativos às transferências realizadas por meio de cartão de crédito ou débito, ou a eles conexos, que sejam prestados ao tomador, direta ou indiretamente, por:</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I -</w:t>
      </w:r>
      <w:r w:rsidRPr="00FC6E91">
        <w:rPr>
          <w:rFonts w:ascii="Palatino Linotype" w:eastAsia="Times New Roman" w:hAnsi="Palatino Linotype" w:cs="Arial"/>
          <w:i/>
          <w:iCs/>
          <w:color w:val="000000" w:themeColor="text1"/>
          <w:lang w:eastAsia="pt-BR"/>
        </w:rPr>
        <w:t xml:space="preserve"> bandeiras;</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II -</w:t>
      </w:r>
      <w:r w:rsidRPr="00FC6E91">
        <w:rPr>
          <w:rFonts w:ascii="Palatino Linotype" w:eastAsia="Times New Roman" w:hAnsi="Palatino Linotype" w:cs="Arial"/>
          <w:i/>
          <w:iCs/>
          <w:color w:val="000000" w:themeColor="text1"/>
          <w:lang w:eastAsia="pt-BR"/>
        </w:rPr>
        <w:t xml:space="preserve"> credenciadoras; ou</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III -</w:t>
      </w:r>
      <w:r w:rsidRPr="00FC6E91">
        <w:rPr>
          <w:rFonts w:ascii="Palatino Linotype" w:eastAsia="Times New Roman" w:hAnsi="Palatino Linotype" w:cs="Arial"/>
          <w:i/>
          <w:iCs/>
          <w:color w:val="000000" w:themeColor="text1"/>
          <w:lang w:eastAsia="pt-BR"/>
        </w:rPr>
        <w:t xml:space="preserve"> emissoras de cartões de crédito e débito.</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10.</w:t>
      </w:r>
      <w:r w:rsidRPr="00FC6E91">
        <w:rPr>
          <w:rFonts w:ascii="Palatino Linotype" w:eastAsia="Times New Roman" w:hAnsi="Palatino Linotype" w:cs="Arial"/>
          <w:i/>
          <w:iCs/>
          <w:color w:val="000000" w:themeColor="text1"/>
          <w:lang w:eastAsia="pt-BR"/>
        </w:rPr>
        <w:t xml:space="preserve"> No caso dos serviços de administração de carteira de valores mobiliários e dos serviços de administração e gestão de fundos e clubes de investimento, referidos no subitem 15.01 da lista de serviços anexa a esta Lei Complementar, o tomador é o cotista.</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11.</w:t>
      </w:r>
      <w:r w:rsidRPr="00FC6E91">
        <w:rPr>
          <w:rFonts w:ascii="Palatino Linotype" w:eastAsia="Times New Roman" w:hAnsi="Palatino Linotype" w:cs="Arial"/>
          <w:i/>
          <w:iCs/>
          <w:color w:val="000000" w:themeColor="text1"/>
          <w:lang w:eastAsia="pt-BR"/>
        </w:rPr>
        <w:t xml:space="preserve"> No caso dos serviços de administração de consórcios, o tomador de serviço é o consorciado.</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12.</w:t>
      </w:r>
      <w:r w:rsidRPr="00FC6E91">
        <w:rPr>
          <w:rFonts w:ascii="Palatino Linotype" w:eastAsia="Times New Roman" w:hAnsi="Palatino Linotype" w:cs="Arial"/>
          <w:i/>
          <w:iCs/>
          <w:color w:val="000000" w:themeColor="text1"/>
          <w:lang w:eastAsia="pt-BR"/>
        </w:rPr>
        <w:t xml:space="preserve"> No caso dos serviços de arrendamento mercantil, o tomador do serviço é o arrendatário, pessoa física ou a unidade beneficiária da pessoa jurídica, domiciliado no País, e, no caso de arrendatário não domiciliado no País, o tomador é o beneficiário do serviço no País.” (NR)</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i/>
          <w:iCs/>
          <w:color w:val="000000" w:themeColor="text1"/>
          <w:lang w:eastAsia="pt-BR"/>
        </w:rPr>
        <w:t>“</w:t>
      </w:r>
      <w:r w:rsidRPr="00FC6E91">
        <w:rPr>
          <w:rFonts w:ascii="Palatino Linotype" w:eastAsia="Times New Roman" w:hAnsi="Palatino Linotype" w:cs="Arial"/>
          <w:b/>
          <w:i/>
          <w:iCs/>
          <w:color w:val="000000" w:themeColor="text1"/>
          <w:lang w:eastAsia="pt-BR"/>
        </w:rPr>
        <w:t>Art. 6º</w:t>
      </w:r>
      <w:r w:rsidRPr="00FC6E91">
        <w:rPr>
          <w:rFonts w:ascii="Palatino Linotype" w:eastAsia="Times New Roman" w:hAnsi="Palatino Linotype" w:cs="Arial"/>
          <w:i/>
          <w:iCs/>
          <w:color w:val="000000" w:themeColor="text1"/>
          <w:lang w:eastAsia="pt-BR"/>
        </w:rPr>
        <w:t>....................................................................................................</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b/>
          <w:i/>
          <w:iCs/>
          <w:color w:val="000000" w:themeColor="text1"/>
          <w:lang w:eastAsia="pt-BR"/>
        </w:rPr>
        <w:t>§ 2º</w:t>
      </w:r>
      <w:r w:rsidRPr="00FC6E91">
        <w:rPr>
          <w:rFonts w:ascii="Palatino Linotype" w:eastAsia="Times New Roman" w:hAnsi="Palatino Linotype" w:cs="Arial"/>
          <w:i/>
          <w:iCs/>
          <w:color w:val="000000" w:themeColor="text1"/>
          <w:lang w:eastAsia="pt-BR"/>
        </w:rPr>
        <w:t xml:space="preserve"> ........................................................................................................</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hyperlink r:id="rId10" w:anchor="art6%C2%A72iv" w:history="1">
        <w:r w:rsidRPr="00FC6E91">
          <w:rPr>
            <w:rFonts w:ascii="Palatino Linotype" w:eastAsia="Times New Roman" w:hAnsi="Palatino Linotype"/>
            <w:b/>
            <w:i/>
            <w:iCs/>
            <w:color w:val="000000" w:themeColor="text1"/>
            <w:lang w:eastAsia="pt-BR"/>
          </w:rPr>
          <w:t>IV -</w:t>
        </w:r>
      </w:hyperlink>
      <w:r w:rsidRPr="00FC6E91">
        <w:rPr>
          <w:rFonts w:ascii="Palatino Linotype" w:eastAsia="Times New Roman" w:hAnsi="Palatino Linotype" w:cs="Arial"/>
          <w:i/>
          <w:iCs/>
          <w:color w:val="000000" w:themeColor="text1"/>
          <w:lang w:eastAsia="pt-BR"/>
        </w:rPr>
        <w:t xml:space="preserve"> as pessoas referidas nos incisos II ou III do § 9º do art. 3º desta Lei Complementar, pelo imposto devido pelas pessoas a que se refere o inciso I do mesmo parágrafo, em decorrência dos serviços prestados na </w:t>
      </w:r>
      <w:r w:rsidRPr="00FC6E91">
        <w:rPr>
          <w:rFonts w:ascii="Palatino Linotype" w:eastAsia="Times New Roman" w:hAnsi="Palatino Linotype" w:cs="Arial"/>
          <w:i/>
          <w:iCs/>
          <w:color w:val="000000" w:themeColor="text1"/>
          <w:lang w:eastAsia="pt-BR"/>
        </w:rPr>
        <w:lastRenderedPageBreak/>
        <w:t>forma do subitem 15.01 da lista de serviços anexa a esta Lei Complementar.</w:t>
      </w:r>
    </w:p>
    <w:p w:rsidR="000E418C" w:rsidRPr="00FC6E91" w:rsidRDefault="000E418C" w:rsidP="00F40551">
      <w:pPr>
        <w:spacing w:after="0" w:line="240" w:lineRule="auto"/>
        <w:ind w:left="2268"/>
        <w:jc w:val="both"/>
        <w:rPr>
          <w:rFonts w:ascii="Palatino Linotype" w:eastAsia="Times New Roman" w:hAnsi="Palatino Linotype" w:cs="Arial"/>
          <w:i/>
          <w:iCs/>
          <w:color w:val="000000" w:themeColor="text1"/>
          <w:lang w:eastAsia="pt-BR"/>
        </w:rPr>
      </w:pPr>
      <w:hyperlink r:id="rId11" w:anchor="art6%C2%A73." w:history="1">
        <w:r w:rsidRPr="00FC6E91">
          <w:rPr>
            <w:rFonts w:ascii="Palatino Linotype" w:eastAsia="Times New Roman" w:hAnsi="Palatino Linotype"/>
            <w:b/>
            <w:i/>
            <w:iCs/>
            <w:color w:val="000000" w:themeColor="text1"/>
            <w:lang w:eastAsia="pt-BR"/>
          </w:rPr>
          <w:t>§ 3º</w:t>
        </w:r>
      </w:hyperlink>
      <w:r w:rsidRPr="00FC6E91">
        <w:rPr>
          <w:rFonts w:ascii="Palatino Linotype" w:eastAsia="Times New Roman" w:hAnsi="Palatino Linotype" w:cs="Arial"/>
          <w:i/>
          <w:iCs/>
          <w:color w:val="000000" w:themeColor="text1"/>
          <w:lang w:eastAsia="pt-BR"/>
        </w:rPr>
        <w:t> (Revogado)..........................................................................” (NR)</w:t>
      </w:r>
    </w:p>
    <w:p w:rsidR="000E418C" w:rsidRPr="00FC6E91" w:rsidRDefault="000E418C" w:rsidP="00F40551">
      <w:pPr>
        <w:spacing w:after="0" w:line="276" w:lineRule="auto"/>
        <w:jc w:val="both"/>
        <w:rPr>
          <w:rFonts w:ascii="Palatino Linotype" w:eastAsia="Times New Roman" w:hAnsi="Palatino Linotype" w:cs="Arial"/>
          <w:color w:val="FF0000"/>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sz w:val="24"/>
          <w:szCs w:val="24"/>
          <w:lang w:eastAsia="pt-BR"/>
        </w:rPr>
      </w:pPr>
      <w:r w:rsidRPr="00FC6E91">
        <w:rPr>
          <w:rFonts w:ascii="Palatino Linotype" w:eastAsia="Times New Roman" w:hAnsi="Palatino Linotype" w:cs="Arial"/>
          <w:sz w:val="24"/>
          <w:szCs w:val="24"/>
          <w:lang w:eastAsia="pt-BR"/>
        </w:rPr>
        <w:t>A LC nº </w:t>
      </w:r>
      <w:hyperlink r:id="rId12" w:tooltip="LEI COMPLEMENTAR Nº 175, DE 23 DE SETEMBRO DE 2020" w:history="1">
        <w:r w:rsidRPr="00FC6E91">
          <w:rPr>
            <w:rFonts w:ascii="Palatino Linotype" w:eastAsia="Times New Roman" w:hAnsi="Palatino Linotype" w:cs="Arial"/>
            <w:sz w:val="24"/>
            <w:szCs w:val="24"/>
            <w:lang w:eastAsia="pt-BR"/>
          </w:rPr>
          <w:t>175</w:t>
        </w:r>
      </w:hyperlink>
      <w:r w:rsidRPr="00FC6E91">
        <w:rPr>
          <w:rFonts w:ascii="Palatino Linotype" w:eastAsia="Times New Roman" w:hAnsi="Palatino Linotype" w:cs="Arial"/>
          <w:sz w:val="24"/>
          <w:szCs w:val="24"/>
          <w:lang w:eastAsia="pt-BR"/>
        </w:rPr>
        <w:t>/2020 estipula com clareza as regras tributárias quanto ao tomador de serviço e seu respectivo município competente para realizar o lançamento tributário. Assim, com devido respeito às posições contrárias, a cautelar do STF perde efeito e a aplicabilidade da lei ora citada deve ser imediata, mesmo que subsista o interesse jurídico em definir se a anterior, ou seja, a LC 157/2016 poderia ter alterado o Município competente para a exação.</w:t>
      </w:r>
    </w:p>
    <w:p w:rsidR="000E418C" w:rsidRPr="00FC6E91" w:rsidRDefault="000E418C" w:rsidP="00F40551">
      <w:pPr>
        <w:spacing w:after="0" w:line="276" w:lineRule="auto"/>
        <w:jc w:val="both"/>
        <w:rPr>
          <w:rFonts w:ascii="Palatino Linotype" w:eastAsia="Times New Roman" w:hAnsi="Palatino Linotype" w:cs="Arial"/>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sz w:val="24"/>
          <w:szCs w:val="24"/>
          <w:lang w:eastAsia="pt-BR"/>
        </w:rPr>
      </w:pPr>
      <w:r w:rsidRPr="00FC6E91">
        <w:rPr>
          <w:rFonts w:ascii="Palatino Linotype" w:eastAsia="Times New Roman" w:hAnsi="Palatino Linotype" w:cs="Arial"/>
          <w:sz w:val="24"/>
          <w:szCs w:val="24"/>
          <w:lang w:eastAsia="pt-BR"/>
        </w:rPr>
        <w:t>Entretanto, é condição de eficácia da Lei Complementar nº 175 o desenvolvimento do sistema de apuração do ISS e à cada município o encargo de alimentar e fiscalizar o próprio sistema, por força do seu artigo 2º. Para tanto, foi criado o Comitê Gestor das Obrigações Acessórias do ISSQN, com objetivo principal de regular a aplicação do padrão nacional da obrigação acessória dos serviços referidos no art. 1º da LC 175/2020, que iniciou suas atividades em 08 de abril do corrente ano. É de suma importância que os Municípios acompanhem as deliberações do CGOA.</w:t>
      </w:r>
    </w:p>
    <w:p w:rsidR="000E418C" w:rsidRPr="00FC6E91" w:rsidRDefault="000E418C" w:rsidP="00F40551">
      <w:pPr>
        <w:spacing w:after="0" w:line="276" w:lineRule="auto"/>
        <w:jc w:val="both"/>
        <w:rPr>
          <w:rFonts w:ascii="Palatino Linotype" w:eastAsia="Times New Roman" w:hAnsi="Palatino Linotype" w:cs="Arial"/>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Após sanção da Lei Complementar 175/2020, a Confederação Nacional dos Municípios, sabiamente, expediu Nota Técnica nº 058/2020</w:t>
      </w:r>
      <w:r w:rsidRPr="00FC6E91">
        <w:rPr>
          <w:rFonts w:eastAsia="Times New Roman" w:cs="Arial"/>
          <w:color w:val="000000" w:themeColor="text1"/>
          <w:sz w:val="24"/>
          <w:szCs w:val="24"/>
          <w:vertAlign w:val="superscript"/>
          <w:lang w:eastAsia="pt-BR"/>
        </w:rPr>
        <w:footnoteReference w:id="2"/>
      </w:r>
      <w:r w:rsidRPr="00FC6E91">
        <w:rPr>
          <w:rFonts w:ascii="Palatino Linotype" w:eastAsia="Times New Roman" w:hAnsi="Palatino Linotype" w:cs="Arial"/>
          <w:color w:val="000000" w:themeColor="text1"/>
          <w:sz w:val="24"/>
          <w:szCs w:val="24"/>
          <w:lang w:eastAsia="pt-BR"/>
        </w:rPr>
        <w:t xml:space="preserve"> com as orientações aos Municípios sobre a Lei Complementar 175/2020. Importante frisar que, por meio desta NT, foi totalmente esclarecido quanto a necessidade de atualização das legislações municipais, razão pela qual anexamos o inteiro teor a este parecer.</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lastRenderedPageBreak/>
        <w:t>Nesse diapasão, é necessário que cada ente federado, por iniciativa do Executivo Municipal, faça a revisão/avaliação de sua legislação, de forma a cumprir às regras gerais estabelecidas pelas Leis Complementares Federais.</w:t>
      </w:r>
    </w:p>
    <w:p w:rsidR="00F40551" w:rsidRDefault="00F40551"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 xml:space="preserve">A iniciativa privativa do Chefe do Executivo para projeto de lei que disponha sobre matéria tributária está prevista no art. 61, § 1º, II, “b” da Constituição Federal. Embora a Constituição Estadual do Espírito Santo e a Lei Orgânica do Município de Anchieta não tragam em seu bojo disposição nesse sentido, pelo princípio da simetria das normas, entendido aqui como um princípio de interpretação, indica a reprodução da norma pelos entes federativos. </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Contudo, vale ressaltar o posicionamento do STF no sentido de que deve prevalecer a regra geral da iniciativa concorrente quanto à instauração do processo legislativo sobre matéria tributária, bem como que inexiste iniciativa privativa do Chefe do Executivo nesse particular. É o que se depreende do resultado do julgamento do Recurso Extraordinário (RE) 1185857, cuja ementa segue transcrita:</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ind w:left="2268"/>
        <w:jc w:val="both"/>
        <w:rPr>
          <w:rFonts w:ascii="Palatino Linotype" w:eastAsia="Times New Roman" w:hAnsi="Palatino Linotype" w:cs="Arial"/>
          <w:i/>
          <w:iCs/>
          <w:color w:val="000000" w:themeColor="text1"/>
          <w:lang w:eastAsia="pt-BR"/>
        </w:rPr>
      </w:pPr>
      <w:r w:rsidRPr="00FC6E91">
        <w:rPr>
          <w:rFonts w:ascii="Palatino Linotype" w:eastAsia="Times New Roman" w:hAnsi="Palatino Linotype" w:cs="Arial"/>
          <w:i/>
          <w:iCs/>
          <w:color w:val="000000" w:themeColor="text1"/>
          <w:lang w:eastAsia="pt-BR"/>
        </w:rPr>
        <w:t>AGRAVO INTERNO NO RECURSO EXTRAORDINÁRIO. CONSTITUCIONAL. TRIBUTÁRIO. AÇÃO DIRETA DE INCONSTITUCIONALIDADE CONTRA LEI MUNICIPAL. INICIATIVA LEGISLATIVA. MATÉRIA TRIBUTÁRIA. CONCORRÊNCIA ENTRE PODER LEGISLATIVO E PODER EXECUTIVO. LEI QUE CONCEDE ISENÇÃO. POSSIBILIDADE AINDA QUE O TEMA VENHA A REPERCUTIR NO ORÇAMENTO MUNICIPAL. AGRAVO INTERNO DESPROVIDO. (RE 1185857 AgR, Órgão julgador: Primeira Turma, Relator(a): Min. LUIZ FUX, Julgamento: 20/12/2019, Publicação: 13/02/2020)</w:t>
      </w:r>
    </w:p>
    <w:p w:rsidR="000E418C" w:rsidRPr="00FC6E91" w:rsidRDefault="000E418C" w:rsidP="00F40551">
      <w:pPr>
        <w:spacing w:after="0" w:line="276" w:lineRule="auto"/>
        <w:ind w:left="720"/>
        <w:jc w:val="both"/>
        <w:rPr>
          <w:rFonts w:ascii="Palatino Linotype" w:eastAsia="Times New Roman" w:hAnsi="Palatino Linotype" w:cs="Arial"/>
          <w:color w:val="000000" w:themeColor="text1"/>
          <w:sz w:val="24"/>
          <w:szCs w:val="24"/>
          <w:lang w:eastAsia="pt-BR"/>
        </w:rPr>
      </w:pPr>
    </w:p>
    <w:p w:rsidR="000E418C"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lastRenderedPageBreak/>
        <w:t>Importante destacar que as Leis Complementares nº 116, nº 157 e nº 175 aqui discutidas, não trazem divergências entre si, mas sim, trazem inovações à tributação e fiscalização do ISSQN, devendo ser analisadas e aplicadas conjuntamente e, jamais, uma em detrimento de outra.</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 xml:space="preserve">Frise-se que cada órgão tem peculiaridades em sua legislação, razão pela qual é necessária análise minuciosa, preferencialmente por cada procuradoria municipal, objetivando assegurar direitos e cumprir deveres dos Municípios. Nesse sentido, sugere-se, o envolvimento da </w:t>
      </w:r>
      <w:r w:rsidRPr="00FC6E91">
        <w:rPr>
          <w:rFonts w:ascii="Palatino Linotype" w:eastAsia="Times New Roman" w:hAnsi="Palatino Linotype"/>
          <w:b/>
          <w:bCs/>
          <w:color w:val="000000" w:themeColor="text1"/>
          <w:sz w:val="24"/>
          <w:szCs w:val="24"/>
          <w:lang w:eastAsia="pt-BR"/>
        </w:rPr>
        <w:t>AMUNES</w:t>
      </w:r>
      <w:r w:rsidRPr="00FC6E91">
        <w:rPr>
          <w:rFonts w:ascii="Palatino Linotype" w:eastAsia="Times New Roman" w:hAnsi="Palatino Linotype" w:cs="Arial"/>
          <w:color w:val="000000" w:themeColor="text1"/>
          <w:sz w:val="24"/>
          <w:szCs w:val="24"/>
          <w:lang w:eastAsia="pt-BR"/>
        </w:rPr>
        <w:t xml:space="preserve"> - Associação dos Municípios do Espírito Santo, neste processo de adequação para os 78 municípios capixabas, visto que tal associação tem um importante papel na defesa dos interesses dos municípios do Espírito Santo. </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r w:rsidRPr="00FC6E91">
        <w:rPr>
          <w:rFonts w:ascii="Palatino Linotype" w:eastAsia="Times New Roman" w:hAnsi="Palatino Linotype" w:cs="Arial"/>
          <w:color w:val="000000" w:themeColor="text1"/>
          <w:sz w:val="24"/>
          <w:szCs w:val="24"/>
          <w:lang w:eastAsia="pt-BR"/>
        </w:rPr>
        <w:t>Destaca-se, dentre as atividades da AMUNES, a promoção de forma cooperativa subsidiária ao desenvolvimento da gestão pública municipal em toda a multiplicidade de seus aspectos, realizando ou apoiando estudos e pesquisas voltados à promoção do bem-estar social e progresso das comunidades municipais, tendo como metodologia a solução planificada de seus problemas.</w:t>
      </w:r>
      <w:r w:rsidRPr="00FC6E91">
        <w:rPr>
          <w:rStyle w:val="Refdenotaderodap"/>
          <w:rFonts w:ascii="Palatino Linotype" w:eastAsia="Times New Roman" w:hAnsi="Palatino Linotype" w:cs="Arial"/>
          <w:color w:val="000000" w:themeColor="text1"/>
          <w:sz w:val="24"/>
          <w:szCs w:val="24"/>
          <w:lang w:eastAsia="pt-BR"/>
        </w:rPr>
        <w:footnoteReference w:id="3"/>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F4055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p>
    <w:p w:rsidR="000E418C" w:rsidRPr="00FC6E91" w:rsidRDefault="00F40551" w:rsidP="00F40551">
      <w:pPr>
        <w:spacing w:after="0" w:line="276" w:lineRule="auto"/>
        <w:jc w:val="center"/>
        <w:rPr>
          <w:rFonts w:ascii="Palatino Linotype" w:eastAsia="Times New Roman" w:hAnsi="Palatino Linotype" w:cs="Arial"/>
          <w:b/>
          <w:color w:val="000000" w:themeColor="text1"/>
          <w:sz w:val="24"/>
          <w:szCs w:val="24"/>
          <w:lang w:eastAsia="pt-BR"/>
        </w:rPr>
      </w:pPr>
      <w:r>
        <w:rPr>
          <w:rFonts w:ascii="Palatino Linotype" w:eastAsia="Times New Roman" w:hAnsi="Palatino Linotype" w:cs="Arial"/>
          <w:b/>
          <w:color w:val="000000" w:themeColor="text1"/>
          <w:sz w:val="24"/>
          <w:szCs w:val="24"/>
          <w:lang w:eastAsia="pt-BR"/>
        </w:rPr>
        <w:lastRenderedPageBreak/>
        <w:t xml:space="preserve">CONCLUSÃO DO </w:t>
      </w:r>
      <w:r w:rsidR="000E418C" w:rsidRPr="00FC6E91">
        <w:rPr>
          <w:rFonts w:ascii="Palatino Linotype" w:eastAsia="Times New Roman" w:hAnsi="Palatino Linotype" w:cs="Arial"/>
          <w:b/>
          <w:color w:val="000000" w:themeColor="text1"/>
          <w:sz w:val="24"/>
          <w:szCs w:val="24"/>
          <w:lang w:eastAsia="pt-BR"/>
        </w:rPr>
        <w:t>PARECER</w:t>
      </w:r>
    </w:p>
    <w:p w:rsidR="000E418C" w:rsidRPr="00FC6E91" w:rsidRDefault="000E418C" w:rsidP="00F40551">
      <w:pPr>
        <w:spacing w:after="0" w:line="276" w:lineRule="auto"/>
        <w:jc w:val="both"/>
        <w:rPr>
          <w:rFonts w:ascii="Palatino Linotype" w:eastAsia="Times New Roman" w:hAnsi="Palatino Linotype" w:cs="Arial"/>
          <w:color w:val="000000" w:themeColor="text1"/>
          <w:sz w:val="24"/>
          <w:szCs w:val="24"/>
          <w:lang w:eastAsia="pt-BR"/>
        </w:rPr>
      </w:pPr>
    </w:p>
    <w:p w:rsidR="000E418C"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Ante todo o exposto, conclui-se pela necessária avaliação individual da legislação municipal, principalmente pelas procuradorias municipais e, se possível com o auxílio da AMUNES no âmbito de todo o território capixaba, para adequação às Leis Complementares nº 116/2003, nº 157/2006 e nº 175/2020, respeitando-se os requisitos de eficácia primando pela aplicabilidade de todas, sem detrimento de nenhuma, pelos motivos supra expostos.</w:t>
      </w: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r w:rsidRPr="00FC6E91">
        <w:rPr>
          <w:rFonts w:ascii="Palatino Linotype" w:hAnsi="Palatino Linotype"/>
          <w:sz w:val="24"/>
          <w:szCs w:val="24"/>
        </w:rPr>
        <w:t>É o parecer, S.M.J.</w:t>
      </w:r>
    </w:p>
    <w:p w:rsidR="000E418C" w:rsidRDefault="000E418C" w:rsidP="00F40551">
      <w:pPr>
        <w:spacing w:after="0" w:line="276" w:lineRule="auto"/>
        <w:jc w:val="both"/>
        <w:rPr>
          <w:rFonts w:ascii="Palatino Linotype" w:hAnsi="Palatino Linotype"/>
          <w:sz w:val="24"/>
          <w:szCs w:val="24"/>
        </w:rPr>
      </w:pPr>
    </w:p>
    <w:p w:rsidR="000E418C" w:rsidRPr="00FC6E91" w:rsidRDefault="000E418C" w:rsidP="00F40551">
      <w:pPr>
        <w:spacing w:after="0" w:line="276" w:lineRule="auto"/>
        <w:jc w:val="both"/>
        <w:rPr>
          <w:rFonts w:ascii="Palatino Linotype" w:hAnsi="Palatino Linotype"/>
          <w:sz w:val="24"/>
          <w:szCs w:val="24"/>
        </w:rPr>
      </w:pPr>
    </w:p>
    <w:p w:rsidR="000E418C" w:rsidRDefault="000E418C" w:rsidP="00F40551">
      <w:pPr>
        <w:spacing w:after="0" w:line="276" w:lineRule="auto"/>
        <w:jc w:val="center"/>
        <w:rPr>
          <w:rFonts w:ascii="Palatino Linotype" w:hAnsi="Palatino Linotype"/>
          <w:sz w:val="24"/>
          <w:szCs w:val="24"/>
        </w:rPr>
      </w:pPr>
      <w:r>
        <w:rPr>
          <w:rFonts w:ascii="Palatino Linotype" w:hAnsi="Palatino Linotype"/>
          <w:sz w:val="24"/>
          <w:szCs w:val="24"/>
        </w:rPr>
        <w:t xml:space="preserve">Vitória – ES, </w:t>
      </w:r>
      <w:r w:rsidR="00F40551">
        <w:rPr>
          <w:rFonts w:ascii="Palatino Linotype" w:hAnsi="Palatino Linotype"/>
          <w:sz w:val="24"/>
          <w:szCs w:val="24"/>
        </w:rPr>
        <w:t>05</w:t>
      </w:r>
      <w:r>
        <w:rPr>
          <w:rFonts w:ascii="Palatino Linotype" w:hAnsi="Palatino Linotype"/>
          <w:sz w:val="24"/>
          <w:szCs w:val="24"/>
        </w:rPr>
        <w:t xml:space="preserve"> de julho de 2021.</w:t>
      </w:r>
    </w:p>
    <w:p w:rsidR="000E418C" w:rsidRDefault="000E418C" w:rsidP="00F40551">
      <w:pPr>
        <w:spacing w:after="0" w:line="276" w:lineRule="auto"/>
        <w:jc w:val="center"/>
        <w:rPr>
          <w:rFonts w:ascii="Palatino Linotype" w:hAnsi="Palatino Linotype"/>
          <w:sz w:val="24"/>
          <w:szCs w:val="24"/>
        </w:rPr>
      </w:pP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CELIO FEU</w:t>
      </w: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OAB/ES Nº 15538</w:t>
      </w:r>
    </w:p>
    <w:p w:rsidR="000E418C" w:rsidRDefault="000E418C" w:rsidP="00F40551">
      <w:pPr>
        <w:spacing w:after="0" w:line="276" w:lineRule="auto"/>
        <w:jc w:val="center"/>
        <w:rPr>
          <w:rFonts w:ascii="Palatino Linotype" w:hAnsi="Palatino Linotype"/>
          <w:b/>
          <w:sz w:val="24"/>
          <w:szCs w:val="24"/>
        </w:rPr>
      </w:pP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JULIANA CEOTTO MATHIAS BAGNO</w:t>
      </w: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OAB/ES Nº 18105</w:t>
      </w:r>
    </w:p>
    <w:p w:rsidR="000E418C" w:rsidRDefault="000E418C" w:rsidP="00F40551">
      <w:pPr>
        <w:spacing w:after="0" w:line="276" w:lineRule="auto"/>
        <w:jc w:val="center"/>
        <w:rPr>
          <w:rFonts w:ascii="Palatino Linotype" w:hAnsi="Palatino Linotype"/>
          <w:b/>
          <w:sz w:val="24"/>
          <w:szCs w:val="24"/>
        </w:rPr>
      </w:pP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MARIANA MARTINS BARROS</w:t>
      </w: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OAB/ES Nº 9503</w:t>
      </w:r>
    </w:p>
    <w:p w:rsidR="000E418C" w:rsidRDefault="000E418C" w:rsidP="00F40551">
      <w:pPr>
        <w:spacing w:after="0" w:line="276" w:lineRule="auto"/>
        <w:jc w:val="center"/>
        <w:rPr>
          <w:rFonts w:ascii="Palatino Linotype" w:hAnsi="Palatino Linotype"/>
          <w:b/>
          <w:sz w:val="24"/>
          <w:szCs w:val="24"/>
        </w:rPr>
      </w:pPr>
    </w:p>
    <w:p w:rsidR="000E418C" w:rsidRDefault="000E418C" w:rsidP="00F40551">
      <w:pPr>
        <w:spacing w:after="0" w:line="276" w:lineRule="auto"/>
        <w:jc w:val="center"/>
        <w:rPr>
          <w:rFonts w:ascii="Palatino Linotype" w:hAnsi="Palatino Linotype"/>
          <w:b/>
          <w:sz w:val="24"/>
          <w:szCs w:val="24"/>
        </w:rPr>
      </w:pPr>
      <w:bookmarkStart w:id="0" w:name="_GoBack"/>
      <w:bookmarkEnd w:id="0"/>
      <w:r>
        <w:rPr>
          <w:rFonts w:ascii="Palatino Linotype" w:hAnsi="Palatino Linotype"/>
          <w:b/>
          <w:sz w:val="24"/>
          <w:szCs w:val="24"/>
        </w:rPr>
        <w:t>BRUNO DEORCE GOMES</w:t>
      </w: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OAB/ES Nº 31348</w:t>
      </w:r>
    </w:p>
    <w:p w:rsidR="000E418C" w:rsidRDefault="000E418C" w:rsidP="00F40551">
      <w:pPr>
        <w:spacing w:after="0" w:line="276" w:lineRule="auto"/>
        <w:jc w:val="center"/>
        <w:rPr>
          <w:rFonts w:ascii="Palatino Linotype" w:hAnsi="Palatino Linotype"/>
          <w:b/>
          <w:sz w:val="24"/>
          <w:szCs w:val="24"/>
        </w:rPr>
      </w:pPr>
    </w:p>
    <w:p w:rsidR="000E418C" w:rsidRDefault="000E418C" w:rsidP="00F40551">
      <w:pPr>
        <w:spacing w:after="0" w:line="276" w:lineRule="auto"/>
        <w:jc w:val="center"/>
        <w:rPr>
          <w:rFonts w:ascii="Palatino Linotype" w:hAnsi="Palatino Linotype"/>
          <w:b/>
          <w:sz w:val="24"/>
          <w:szCs w:val="24"/>
        </w:rPr>
      </w:pPr>
      <w:r>
        <w:rPr>
          <w:rFonts w:ascii="Palatino Linotype" w:hAnsi="Palatino Linotype"/>
          <w:b/>
          <w:sz w:val="24"/>
          <w:szCs w:val="24"/>
        </w:rPr>
        <w:t>YURI ADAN VAZ CORRÊA</w:t>
      </w:r>
    </w:p>
    <w:p w:rsidR="000E418C" w:rsidRPr="00FC6E91" w:rsidRDefault="000E418C" w:rsidP="00F40551">
      <w:pPr>
        <w:spacing w:after="0" w:line="276" w:lineRule="auto"/>
        <w:jc w:val="center"/>
        <w:rPr>
          <w:rFonts w:ascii="Palatino Linotype" w:hAnsi="Palatino Linotype"/>
          <w:sz w:val="24"/>
          <w:szCs w:val="24"/>
        </w:rPr>
      </w:pPr>
      <w:r>
        <w:rPr>
          <w:rFonts w:ascii="Palatino Linotype" w:hAnsi="Palatino Linotype"/>
          <w:b/>
          <w:sz w:val="24"/>
          <w:szCs w:val="24"/>
        </w:rPr>
        <w:t>OAB/ES Nº 33081</w:t>
      </w:r>
    </w:p>
    <w:sectPr w:rsidR="000E418C" w:rsidRPr="00FC6E91" w:rsidSect="009B211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F24" w:rsidRDefault="00295F24" w:rsidP="00816FE5">
      <w:pPr>
        <w:spacing w:after="0" w:line="240" w:lineRule="auto"/>
      </w:pPr>
      <w:r>
        <w:separator/>
      </w:r>
    </w:p>
  </w:endnote>
  <w:endnote w:type="continuationSeparator" w:id="1">
    <w:p w:rsidR="00295F24" w:rsidRDefault="00295F24" w:rsidP="00816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E5" w:rsidRPr="00D3131D" w:rsidRDefault="00816FE5" w:rsidP="00816FE5">
    <w:pPr>
      <w:pStyle w:val="Rodap"/>
      <w:ind w:left="-1276" w:right="-1225" w:firstLine="142"/>
      <w:jc w:val="center"/>
      <w:rPr>
        <w:rFonts w:ascii="Calibri" w:hAnsi="Calibri" w:cs="Arial"/>
      </w:rPr>
    </w:pPr>
    <w:r w:rsidRPr="00D3131D">
      <w:rPr>
        <w:rFonts w:ascii="Calibri" w:hAnsi="Calibri" w:cs="Arial"/>
      </w:rPr>
      <w:t xml:space="preserve">Alberto de Oliveira Santos, 59 – Ed. Ricamar – </w:t>
    </w:r>
    <w:r>
      <w:rPr>
        <w:rFonts w:ascii="Calibri" w:hAnsi="Calibri" w:cs="Arial"/>
      </w:rPr>
      <w:t>4</w:t>
    </w:r>
    <w:r w:rsidRPr="00D3131D">
      <w:rPr>
        <w:rFonts w:ascii="Calibri" w:hAnsi="Calibri" w:cs="Arial"/>
      </w:rPr>
      <w:t>º andar – Centro – Vitória –</w:t>
    </w:r>
    <w:r>
      <w:rPr>
        <w:rFonts w:ascii="Calibri" w:hAnsi="Calibri" w:cs="Arial"/>
      </w:rPr>
      <w:t xml:space="preserve"> </w:t>
    </w:r>
    <w:r w:rsidRPr="00D3131D">
      <w:rPr>
        <w:rFonts w:ascii="Calibri" w:hAnsi="Calibri" w:cs="Arial"/>
      </w:rPr>
      <w:t>ES – CEP: 29010-908</w:t>
    </w:r>
  </w:p>
  <w:p w:rsidR="00816FE5" w:rsidRPr="00D3131D" w:rsidRDefault="00816FE5" w:rsidP="00816FE5">
    <w:pPr>
      <w:pStyle w:val="Rodap"/>
      <w:ind w:left="-1276" w:right="-1225" w:firstLine="284"/>
      <w:jc w:val="center"/>
      <w:rPr>
        <w:rFonts w:ascii="Calibri" w:hAnsi="Calibri" w:cs="Arial"/>
      </w:rPr>
    </w:pPr>
    <w:r w:rsidRPr="00D3131D">
      <w:rPr>
        <w:rFonts w:ascii="Calibri" w:hAnsi="Calibri" w:cs="Arial"/>
      </w:rPr>
      <w:t>Telefone: (27) 3232-56</w:t>
    </w:r>
    <w:r>
      <w:rPr>
        <w:rFonts w:ascii="Calibri" w:hAnsi="Calibri" w:cs="Arial"/>
      </w:rPr>
      <w:t>04</w:t>
    </w:r>
    <w:r w:rsidRPr="00D3131D">
      <w:rPr>
        <w:rFonts w:ascii="Calibri" w:hAnsi="Calibri" w:cs="Arial"/>
      </w:rPr>
      <w:t xml:space="preserve">  </w:t>
    </w:r>
  </w:p>
  <w:p w:rsidR="00816FE5" w:rsidRDefault="00816F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F24" w:rsidRDefault="00295F24" w:rsidP="00816FE5">
      <w:pPr>
        <w:spacing w:after="0" w:line="240" w:lineRule="auto"/>
      </w:pPr>
      <w:r>
        <w:separator/>
      </w:r>
    </w:p>
  </w:footnote>
  <w:footnote w:type="continuationSeparator" w:id="1">
    <w:p w:rsidR="00295F24" w:rsidRDefault="00295F24" w:rsidP="00816FE5">
      <w:pPr>
        <w:spacing w:after="0" w:line="240" w:lineRule="auto"/>
      </w:pPr>
      <w:r>
        <w:continuationSeparator/>
      </w:r>
    </w:p>
  </w:footnote>
  <w:footnote w:id="2">
    <w:p w:rsidR="000E418C" w:rsidRDefault="000E418C" w:rsidP="000E418C">
      <w:pPr>
        <w:pStyle w:val="Textodenotaderodap"/>
      </w:pPr>
      <w:r>
        <w:rPr>
          <w:rStyle w:val="Refdenotaderodap"/>
        </w:rPr>
        <w:footnoteRef/>
      </w:r>
      <w:r w:rsidRPr="00075BF2">
        <w:t>https://www.cnm.org.br/biblioteca/exibe/14761</w:t>
      </w:r>
    </w:p>
  </w:footnote>
  <w:footnote w:id="3">
    <w:p w:rsidR="000E418C" w:rsidRDefault="000E418C" w:rsidP="000E418C">
      <w:pPr>
        <w:pStyle w:val="Textodenotaderodap"/>
      </w:pPr>
      <w:r>
        <w:rPr>
          <w:rStyle w:val="Refdenotaderodap"/>
        </w:rPr>
        <w:footnoteRef/>
      </w:r>
      <w:r w:rsidRPr="00D57E88">
        <w:t>https://www.amunes.org.br/pagina/ler/1032/quem-somos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E5" w:rsidRDefault="00816FE5" w:rsidP="00816FE5">
    <w:pPr>
      <w:pStyle w:val="Cabealho"/>
      <w:jc w:val="center"/>
    </w:pPr>
    <w:r>
      <w:rPr>
        <w:noProof/>
        <w:lang w:eastAsia="pt-BR"/>
      </w:rPr>
      <w:drawing>
        <wp:inline distT="0" distB="0" distL="0" distR="0">
          <wp:extent cx="971550" cy="1066800"/>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971550" cy="1066800"/>
                  </a:xfrm>
                  <a:prstGeom prst="rect">
                    <a:avLst/>
                  </a:prstGeom>
                  <a:noFill/>
                  <a:ln w="9525">
                    <a:noFill/>
                    <a:miter lim="800000"/>
                    <a:headEnd/>
                    <a:tailEnd/>
                  </a:ln>
                </pic:spPr>
              </pic:pic>
            </a:graphicData>
          </a:graphic>
        </wp:inline>
      </w:drawing>
    </w:r>
  </w:p>
  <w:p w:rsidR="00816FE5" w:rsidRPr="007A7657" w:rsidRDefault="00816FE5" w:rsidP="00816FE5">
    <w:pPr>
      <w:pStyle w:val="Cabealho"/>
      <w:jc w:val="center"/>
      <w:rPr>
        <w:rFonts w:ascii="Kunstler Script" w:hAnsi="Kunstler Script"/>
        <w:sz w:val="54"/>
        <w:szCs w:val="54"/>
      </w:rPr>
    </w:pPr>
    <w:r w:rsidRPr="007A7657">
      <w:rPr>
        <w:rFonts w:ascii="Kunstler Script" w:hAnsi="Kunstler Script"/>
        <w:sz w:val="54"/>
        <w:szCs w:val="54"/>
      </w:rPr>
      <w:t>Ordem dos Advogados do Brasil</w:t>
    </w:r>
  </w:p>
  <w:p w:rsidR="00816FE5" w:rsidRPr="007A7657" w:rsidRDefault="00816FE5" w:rsidP="00816FE5">
    <w:pPr>
      <w:pStyle w:val="Cabealho"/>
      <w:jc w:val="center"/>
      <w:rPr>
        <w:rFonts w:ascii="Kunstler Script" w:hAnsi="Kunstler Script"/>
        <w:sz w:val="54"/>
        <w:szCs w:val="54"/>
      </w:rPr>
    </w:pPr>
    <w:r w:rsidRPr="007A7657">
      <w:rPr>
        <w:rFonts w:ascii="Kunstler Script" w:hAnsi="Kunstler Script"/>
        <w:sz w:val="54"/>
        <w:szCs w:val="54"/>
      </w:rPr>
      <w:t>Seção do Espírito Santo</w:t>
    </w:r>
  </w:p>
  <w:p w:rsidR="00816FE5" w:rsidRDefault="00816FE5" w:rsidP="00816FE5">
    <w:pPr>
      <w:pStyle w:val="Cabealho"/>
    </w:pPr>
  </w:p>
  <w:p w:rsidR="00816FE5" w:rsidRDefault="00816FE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8262D"/>
    <w:multiLevelType w:val="hybridMultilevel"/>
    <w:tmpl w:val="74B23D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87B2D"/>
    <w:rsid w:val="000718C9"/>
    <w:rsid w:val="000C1832"/>
    <w:rsid w:val="000E418C"/>
    <w:rsid w:val="00105329"/>
    <w:rsid w:val="0011435A"/>
    <w:rsid w:val="00151AAF"/>
    <w:rsid w:val="00166C54"/>
    <w:rsid w:val="001A5E32"/>
    <w:rsid w:val="0023568C"/>
    <w:rsid w:val="00295F24"/>
    <w:rsid w:val="00296073"/>
    <w:rsid w:val="00303776"/>
    <w:rsid w:val="00330D06"/>
    <w:rsid w:val="00365E92"/>
    <w:rsid w:val="00367469"/>
    <w:rsid w:val="003B3B4B"/>
    <w:rsid w:val="003F528C"/>
    <w:rsid w:val="00402F05"/>
    <w:rsid w:val="00406322"/>
    <w:rsid w:val="00432D96"/>
    <w:rsid w:val="00441338"/>
    <w:rsid w:val="004C3CA8"/>
    <w:rsid w:val="004C6F25"/>
    <w:rsid w:val="00513790"/>
    <w:rsid w:val="00556DCC"/>
    <w:rsid w:val="00560C2E"/>
    <w:rsid w:val="00574AAC"/>
    <w:rsid w:val="00575BA8"/>
    <w:rsid w:val="005B48DE"/>
    <w:rsid w:val="005C6886"/>
    <w:rsid w:val="00632ECB"/>
    <w:rsid w:val="00635157"/>
    <w:rsid w:val="00644B75"/>
    <w:rsid w:val="006863A3"/>
    <w:rsid w:val="007338E6"/>
    <w:rsid w:val="00816FE5"/>
    <w:rsid w:val="008251F9"/>
    <w:rsid w:val="008B6A70"/>
    <w:rsid w:val="008E70A8"/>
    <w:rsid w:val="00982157"/>
    <w:rsid w:val="009B211F"/>
    <w:rsid w:val="009D65C2"/>
    <w:rsid w:val="009E082A"/>
    <w:rsid w:val="00A368D7"/>
    <w:rsid w:val="00A6584F"/>
    <w:rsid w:val="00A77E9A"/>
    <w:rsid w:val="00A80F98"/>
    <w:rsid w:val="00B2484F"/>
    <w:rsid w:val="00B87B2D"/>
    <w:rsid w:val="00BB3BF2"/>
    <w:rsid w:val="00BC3410"/>
    <w:rsid w:val="00C07C81"/>
    <w:rsid w:val="00C14FAF"/>
    <w:rsid w:val="00C26F6D"/>
    <w:rsid w:val="00C41868"/>
    <w:rsid w:val="00C80EF3"/>
    <w:rsid w:val="00CC4351"/>
    <w:rsid w:val="00CD2BF7"/>
    <w:rsid w:val="00CE7AE6"/>
    <w:rsid w:val="00D5323D"/>
    <w:rsid w:val="00DF709A"/>
    <w:rsid w:val="00E25E03"/>
    <w:rsid w:val="00F15E88"/>
    <w:rsid w:val="00F40551"/>
    <w:rsid w:val="00F638F4"/>
    <w:rsid w:val="00FF27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E5"/>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338E6"/>
    <w:pPr>
      <w:autoSpaceDE w:val="0"/>
      <w:autoSpaceDN w:val="0"/>
      <w:adjustRightInd w:val="0"/>
      <w:spacing w:after="0" w:line="240" w:lineRule="auto"/>
    </w:pPr>
    <w:rPr>
      <w:rFonts w:ascii="Arial" w:hAnsi="Arial" w:cs="Arial"/>
      <w:color w:val="000000"/>
      <w:sz w:val="24"/>
      <w:szCs w:val="24"/>
    </w:rPr>
  </w:style>
  <w:style w:type="paragraph" w:styleId="Recuodecorpodetexto3">
    <w:name w:val="Body Text Indent 3"/>
    <w:basedOn w:val="Normal"/>
    <w:link w:val="Recuodecorpodetexto3Char"/>
    <w:semiHidden/>
    <w:rsid w:val="00632ECB"/>
    <w:pPr>
      <w:spacing w:after="0" w:line="360" w:lineRule="auto"/>
      <w:ind w:left="1701"/>
      <w:jc w:val="both"/>
    </w:pPr>
    <w:rPr>
      <w:rFonts w:ascii="Arial Narrow" w:eastAsia="Times New Roman" w:hAnsi="Arial Narrow" w:cs="Times New Roman"/>
      <w:i/>
      <w:szCs w:val="20"/>
      <w:lang w:eastAsia="pt-BR"/>
    </w:rPr>
  </w:style>
  <w:style w:type="character" w:customStyle="1" w:styleId="Recuodecorpodetexto3Char">
    <w:name w:val="Recuo de corpo de texto 3 Char"/>
    <w:basedOn w:val="Fontepargpadro"/>
    <w:link w:val="Recuodecorpodetexto3"/>
    <w:semiHidden/>
    <w:rsid w:val="00632ECB"/>
    <w:rPr>
      <w:rFonts w:ascii="Arial Narrow" w:eastAsia="Times New Roman" w:hAnsi="Arial Narrow" w:cs="Times New Roman"/>
      <w:i/>
      <w:szCs w:val="20"/>
      <w:lang w:eastAsia="pt-BR"/>
    </w:rPr>
  </w:style>
  <w:style w:type="paragraph" w:styleId="Corpodetexto">
    <w:name w:val="Body Text"/>
    <w:basedOn w:val="Normal"/>
    <w:link w:val="CorpodetextoChar"/>
    <w:semiHidden/>
    <w:rsid w:val="00632ECB"/>
    <w:pPr>
      <w:spacing w:after="0" w:line="360" w:lineRule="auto"/>
      <w:jc w:val="both"/>
    </w:pPr>
    <w:rPr>
      <w:rFonts w:ascii="Arial Narrow" w:eastAsia="Times New Roman" w:hAnsi="Arial Narrow" w:cs="Times New Roman"/>
      <w:szCs w:val="20"/>
      <w:lang w:eastAsia="pt-BR"/>
    </w:rPr>
  </w:style>
  <w:style w:type="character" w:customStyle="1" w:styleId="CorpodetextoChar">
    <w:name w:val="Corpo de texto Char"/>
    <w:basedOn w:val="Fontepargpadro"/>
    <w:link w:val="Corpodetexto"/>
    <w:semiHidden/>
    <w:rsid w:val="00632ECB"/>
    <w:rPr>
      <w:rFonts w:ascii="Arial Narrow" w:eastAsia="Times New Roman" w:hAnsi="Arial Narrow" w:cs="Times New Roman"/>
      <w:szCs w:val="20"/>
      <w:lang w:eastAsia="pt-BR"/>
    </w:rPr>
  </w:style>
  <w:style w:type="paragraph" w:styleId="Cabealho">
    <w:name w:val="header"/>
    <w:basedOn w:val="Normal"/>
    <w:link w:val="CabealhoChar"/>
    <w:uiPriority w:val="99"/>
    <w:unhideWhenUsed/>
    <w:rsid w:val="00816F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6FE5"/>
  </w:style>
  <w:style w:type="paragraph" w:styleId="Rodap">
    <w:name w:val="footer"/>
    <w:basedOn w:val="Normal"/>
    <w:link w:val="RodapChar"/>
    <w:uiPriority w:val="99"/>
    <w:unhideWhenUsed/>
    <w:rsid w:val="00816FE5"/>
    <w:pPr>
      <w:tabs>
        <w:tab w:val="center" w:pos="4252"/>
        <w:tab w:val="right" w:pos="8504"/>
      </w:tabs>
      <w:spacing w:after="0" w:line="240" w:lineRule="auto"/>
    </w:pPr>
  </w:style>
  <w:style w:type="character" w:customStyle="1" w:styleId="RodapChar">
    <w:name w:val="Rodapé Char"/>
    <w:basedOn w:val="Fontepargpadro"/>
    <w:link w:val="Rodap"/>
    <w:uiPriority w:val="99"/>
    <w:rsid w:val="00816FE5"/>
  </w:style>
  <w:style w:type="paragraph" w:styleId="Textodebalo">
    <w:name w:val="Balloon Text"/>
    <w:basedOn w:val="Normal"/>
    <w:link w:val="TextodebaloChar"/>
    <w:uiPriority w:val="99"/>
    <w:semiHidden/>
    <w:unhideWhenUsed/>
    <w:rsid w:val="00816F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6FE5"/>
    <w:rPr>
      <w:rFonts w:ascii="Tahoma" w:hAnsi="Tahoma" w:cs="Tahoma"/>
      <w:sz w:val="16"/>
      <w:szCs w:val="16"/>
    </w:rPr>
  </w:style>
  <w:style w:type="paragraph" w:styleId="Textodenotaderodap">
    <w:name w:val="footnote text"/>
    <w:basedOn w:val="Normal"/>
    <w:link w:val="TextodenotaderodapChar"/>
    <w:uiPriority w:val="99"/>
    <w:semiHidden/>
    <w:unhideWhenUsed/>
    <w:rsid w:val="000E418C"/>
    <w:pPr>
      <w:widowControl w:val="0"/>
      <w:autoSpaceDE w:val="0"/>
      <w:autoSpaceDN w:val="0"/>
      <w:spacing w:after="0" w:line="240" w:lineRule="auto"/>
    </w:pPr>
    <w:rPr>
      <w:rFonts w:ascii="Garamond" w:eastAsia="Garamond" w:hAnsi="Garamond" w:cs="Garamond"/>
      <w:sz w:val="20"/>
      <w:szCs w:val="20"/>
    </w:rPr>
  </w:style>
  <w:style w:type="character" w:customStyle="1" w:styleId="TextodenotaderodapChar">
    <w:name w:val="Texto de nota de rodapé Char"/>
    <w:basedOn w:val="Fontepargpadro"/>
    <w:link w:val="Textodenotaderodap"/>
    <w:uiPriority w:val="99"/>
    <w:semiHidden/>
    <w:rsid w:val="000E418C"/>
    <w:rPr>
      <w:rFonts w:ascii="Garamond" w:eastAsia="Garamond" w:hAnsi="Garamond" w:cs="Garamond"/>
      <w:sz w:val="20"/>
      <w:szCs w:val="20"/>
    </w:rPr>
  </w:style>
  <w:style w:type="character" w:styleId="Refdenotaderodap">
    <w:name w:val="footnote reference"/>
    <w:basedOn w:val="Fontepargpadro"/>
    <w:uiPriority w:val="99"/>
    <w:semiHidden/>
    <w:unhideWhenUsed/>
    <w:rsid w:val="000E418C"/>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16.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lanalto.gov.br/ccivil_03/leis/lcp/Lcp116.htm" TargetMode="External"/><Relationship Id="rId12" Type="http://schemas.openxmlformats.org/officeDocument/2006/relationships/hyperlink" Target="https://www.jusbrasil.com.br/legislacao/935943207/lei-complementar-175-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cp/Lcp116.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lanalto.gov.br/ccivil_03/leis/lcp/Lcp116.htm" TargetMode="External"/><Relationship Id="rId4" Type="http://schemas.openxmlformats.org/officeDocument/2006/relationships/webSettings" Target="webSettings.xml"/><Relationship Id="rId9" Type="http://schemas.openxmlformats.org/officeDocument/2006/relationships/hyperlink" Target="https://www.planalto.gov.br/ccivil_03/leis/lcp/Lcp11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2509</Words>
  <Characters>13549</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Gustavo Sipolatti</cp:lastModifiedBy>
  <cp:revision>3</cp:revision>
  <dcterms:created xsi:type="dcterms:W3CDTF">2021-07-05T15:09:00Z</dcterms:created>
  <dcterms:modified xsi:type="dcterms:W3CDTF">2021-07-05T15:16:00Z</dcterms:modified>
</cp:coreProperties>
</file>